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57" w:rsidRDefault="005E278E">
      <w:pPr>
        <w:rPr>
          <w:rFonts w:ascii="Square721 BT" w:hAnsi="Square721 BT"/>
          <w:b/>
          <w:sz w:val="36"/>
        </w:rPr>
      </w:pPr>
      <w:r w:rsidRPr="005E278E">
        <w:rPr>
          <w:rFonts w:ascii="Square721 BT" w:hAnsi="Square721 BT"/>
          <w:b/>
          <w:sz w:val="36"/>
        </w:rPr>
        <w:t>Richtlinie für Speicherorte</w:t>
      </w:r>
    </w:p>
    <w:p w:rsidR="005E278E" w:rsidRDefault="005E278E">
      <w:pPr>
        <w:rPr>
          <w:rFonts w:ascii="Square721 BT" w:hAnsi="Square721 BT"/>
          <w:b/>
          <w:sz w:val="24"/>
        </w:rPr>
      </w:pPr>
      <w:r w:rsidRPr="005E278E">
        <w:rPr>
          <w:rFonts w:ascii="Square721 BT" w:hAnsi="Square721 BT"/>
          <w:b/>
          <w:sz w:val="24"/>
        </w:rPr>
        <w:t>Einleitung</w:t>
      </w:r>
    </w:p>
    <w:p w:rsidR="005E278E" w:rsidRDefault="005E278E" w:rsidP="005E278E">
      <w:pPr>
        <w:rPr>
          <w:rFonts w:ascii="Square721 BT" w:hAnsi="Square721 BT"/>
          <w:sz w:val="24"/>
        </w:rPr>
      </w:pPr>
      <w:r w:rsidRPr="005E278E">
        <w:rPr>
          <w:rFonts w:ascii="Square721 BT" w:hAnsi="Square721 BT"/>
          <w:sz w:val="24"/>
        </w:rPr>
        <w:t xml:space="preserve">Bei der </w:t>
      </w:r>
      <w:r w:rsidRPr="005E278E">
        <w:rPr>
          <w:rFonts w:ascii="Square721 BT" w:hAnsi="Square721 BT"/>
          <w:b/>
          <w:sz w:val="24"/>
        </w:rPr>
        <w:t>Mustermann GmbH</w:t>
      </w:r>
      <w:r w:rsidRPr="005E278E">
        <w:rPr>
          <w:rFonts w:ascii="Square721 BT" w:hAnsi="Square721 BT"/>
          <w:sz w:val="24"/>
        </w:rPr>
        <w:t xml:space="preserve"> können Daten auf verschiedenen IT-Systemen gespe</w:t>
      </w:r>
      <w:r w:rsidRPr="005E278E">
        <w:rPr>
          <w:rFonts w:ascii="Square721 BT" w:hAnsi="Square721 BT"/>
          <w:sz w:val="24"/>
        </w:rPr>
        <w:t>i</w:t>
      </w:r>
      <w:r w:rsidRPr="005E278E">
        <w:rPr>
          <w:rFonts w:ascii="Square721 BT" w:hAnsi="Square721 BT"/>
          <w:sz w:val="24"/>
        </w:rPr>
        <w:t xml:space="preserve">chert werden („Speicherorte“). Um die Verfügbarkeit, Integrität und Vertraulichkeit von Daten zu gewährleisten, macht diese Richtlinie Vorgaben für Beschäftigte der </w:t>
      </w:r>
      <w:r w:rsidRPr="005E278E">
        <w:rPr>
          <w:rFonts w:ascii="Square721 BT" w:hAnsi="Square721 BT"/>
          <w:b/>
          <w:sz w:val="24"/>
        </w:rPr>
        <w:t>Mustermann GmbH</w:t>
      </w:r>
      <w:r w:rsidRPr="005E278E">
        <w:rPr>
          <w:rFonts w:ascii="Square721 BT" w:hAnsi="Square721 BT"/>
          <w:sz w:val="24"/>
        </w:rPr>
        <w:t>, aus denen sich ergibt, wo Daten zu speichern sind.</w:t>
      </w:r>
    </w:p>
    <w:p w:rsidR="005E278E" w:rsidRDefault="005E278E" w:rsidP="005E278E">
      <w:pPr>
        <w:rPr>
          <w:rFonts w:ascii="Square721 BT" w:hAnsi="Square721 BT"/>
          <w:b/>
          <w:sz w:val="24"/>
        </w:rPr>
      </w:pPr>
      <w:r w:rsidRPr="005E278E">
        <w:rPr>
          <w:rFonts w:ascii="Square721 BT" w:hAnsi="Square721 BT"/>
          <w:b/>
          <w:sz w:val="24"/>
        </w:rPr>
        <w:t>Geltungsbereich</w:t>
      </w:r>
    </w:p>
    <w:p w:rsidR="005E278E" w:rsidRPr="005E278E" w:rsidRDefault="005E278E" w:rsidP="005E278E">
      <w:pPr>
        <w:rPr>
          <w:rFonts w:ascii="Square721 BT" w:hAnsi="Square721 BT"/>
          <w:sz w:val="24"/>
        </w:rPr>
      </w:pPr>
      <w:r w:rsidRPr="005E278E">
        <w:rPr>
          <w:rFonts w:ascii="Square721 BT" w:hAnsi="Square721 BT"/>
          <w:sz w:val="24"/>
        </w:rPr>
        <w:t>Diese Richtlinie gilt für die Speicherung von Daten im Zusammenhang mit der Täti</w:t>
      </w:r>
      <w:r w:rsidRPr="005E278E">
        <w:rPr>
          <w:rFonts w:ascii="Square721 BT" w:hAnsi="Square721 BT"/>
          <w:sz w:val="24"/>
        </w:rPr>
        <w:t>g</w:t>
      </w:r>
      <w:r w:rsidRPr="005E278E">
        <w:rPr>
          <w:rFonts w:ascii="Square721 BT" w:hAnsi="Square721 BT"/>
          <w:sz w:val="24"/>
        </w:rPr>
        <w:t xml:space="preserve">keit für die </w:t>
      </w:r>
      <w:r w:rsidRPr="005E278E">
        <w:rPr>
          <w:rFonts w:ascii="Square721 BT" w:hAnsi="Square721 BT"/>
          <w:b/>
          <w:bCs/>
          <w:sz w:val="24"/>
        </w:rPr>
        <w:t>Mustermann GmbH</w:t>
      </w:r>
      <w:r w:rsidRPr="005E278E">
        <w:rPr>
          <w:rFonts w:ascii="Square721 BT" w:hAnsi="Square721 BT"/>
          <w:sz w:val="24"/>
        </w:rPr>
        <w:t xml:space="preserve">. </w:t>
      </w:r>
    </w:p>
    <w:p w:rsidR="005E278E" w:rsidRPr="005E278E" w:rsidRDefault="005E278E" w:rsidP="005E278E">
      <w:pPr>
        <w:rPr>
          <w:rFonts w:ascii="Square721 BT" w:eastAsia="Arial" w:hAnsi="Square721 BT" w:cs="Arial"/>
          <w:sz w:val="24"/>
        </w:rPr>
      </w:pPr>
      <w:r w:rsidRPr="005E278E">
        <w:rPr>
          <w:rFonts w:ascii="Square721 BT" w:hAnsi="Square721 BT"/>
          <w:sz w:val="24"/>
        </w:rPr>
        <w:t xml:space="preserve">Diese Richtlinie gilt für alle Standorte der </w:t>
      </w:r>
      <w:r w:rsidRPr="005E278E">
        <w:rPr>
          <w:rFonts w:ascii="Square721 BT" w:hAnsi="Square721 BT"/>
          <w:b/>
          <w:bCs/>
          <w:sz w:val="24"/>
        </w:rPr>
        <w:t>Mustermann GmbH</w:t>
      </w:r>
      <w:r w:rsidRPr="005E278E">
        <w:rPr>
          <w:rFonts w:ascii="Square721 BT" w:hAnsi="Square721 BT"/>
          <w:sz w:val="24"/>
        </w:rPr>
        <w:t>.</w:t>
      </w:r>
    </w:p>
    <w:p w:rsidR="005E278E" w:rsidRDefault="005E278E" w:rsidP="005E278E">
      <w:pPr>
        <w:rPr>
          <w:rFonts w:ascii="Square721 BT" w:hAnsi="Square721 BT"/>
          <w:sz w:val="24"/>
        </w:rPr>
      </w:pPr>
      <w:r w:rsidRPr="005E278E">
        <w:rPr>
          <w:rFonts w:ascii="Square721 BT" w:hAnsi="Square721 BT"/>
          <w:sz w:val="24"/>
        </w:rPr>
        <w:t xml:space="preserve">Diese Richtlinie verpflichtet alle Beschäftigten der </w:t>
      </w:r>
      <w:r w:rsidRPr="005E278E">
        <w:rPr>
          <w:rFonts w:ascii="Square721 BT" w:hAnsi="Square721 BT"/>
          <w:b/>
          <w:bCs/>
          <w:sz w:val="24"/>
        </w:rPr>
        <w:t>Mustermann GmbH</w:t>
      </w:r>
      <w:r w:rsidRPr="005E278E">
        <w:rPr>
          <w:rFonts w:ascii="Square721 BT" w:hAnsi="Square721 BT"/>
          <w:sz w:val="24"/>
        </w:rPr>
        <w:t xml:space="preserve"> zur Einha</w:t>
      </w:r>
      <w:r w:rsidRPr="005E278E">
        <w:rPr>
          <w:rFonts w:ascii="Square721 BT" w:hAnsi="Square721 BT"/>
          <w:sz w:val="24"/>
        </w:rPr>
        <w:t>l</w:t>
      </w:r>
      <w:r w:rsidRPr="005E278E">
        <w:rPr>
          <w:rFonts w:ascii="Square721 BT" w:hAnsi="Square721 BT"/>
          <w:sz w:val="24"/>
        </w:rPr>
        <w:t>tung der hier festgelegten Pflichten und Vorgaben.</w:t>
      </w:r>
    </w:p>
    <w:p w:rsidR="005E278E" w:rsidRDefault="005E278E" w:rsidP="005E278E">
      <w:pPr>
        <w:rPr>
          <w:rFonts w:ascii="Square721 BT" w:hAnsi="Square721 BT"/>
          <w:b/>
          <w:sz w:val="24"/>
        </w:rPr>
      </w:pPr>
      <w:r w:rsidRPr="005E278E">
        <w:rPr>
          <w:rFonts w:ascii="Square721 BT" w:hAnsi="Square721 BT"/>
          <w:b/>
          <w:sz w:val="24"/>
        </w:rPr>
        <w:t>Ziele</w:t>
      </w:r>
    </w:p>
    <w:p w:rsidR="005E278E" w:rsidRDefault="005E278E" w:rsidP="005E278E">
      <w:pPr>
        <w:rPr>
          <w:rFonts w:ascii="Square721 BT" w:hAnsi="Square721 BT"/>
          <w:sz w:val="24"/>
        </w:rPr>
      </w:pPr>
      <w:r w:rsidRPr="005E278E">
        <w:rPr>
          <w:rFonts w:ascii="Square721 BT" w:hAnsi="Square721 BT"/>
          <w:sz w:val="24"/>
        </w:rPr>
        <w:t>Diese Richtlinie soll dazu beitragen, dass die Integrität, Verfügbarkeit und Vertra</w:t>
      </w:r>
      <w:r w:rsidRPr="005E278E">
        <w:rPr>
          <w:rFonts w:ascii="Square721 BT" w:hAnsi="Square721 BT"/>
          <w:sz w:val="24"/>
        </w:rPr>
        <w:t>u</w:t>
      </w:r>
      <w:r w:rsidRPr="005E278E">
        <w:rPr>
          <w:rFonts w:ascii="Square721 BT" w:hAnsi="Square721 BT"/>
          <w:sz w:val="24"/>
        </w:rPr>
        <w:t>lichkeit von Informationen durch eine Vorgabe von Speicherorten gewährleistet wird.</w:t>
      </w:r>
    </w:p>
    <w:p w:rsidR="005E278E" w:rsidRDefault="005E278E" w:rsidP="005E278E">
      <w:pPr>
        <w:rPr>
          <w:rFonts w:ascii="Square721 BT" w:hAnsi="Square721 BT"/>
          <w:b/>
          <w:sz w:val="24"/>
        </w:rPr>
      </w:pPr>
      <w:r w:rsidRPr="005E278E">
        <w:rPr>
          <w:rFonts w:ascii="Square721 BT" w:hAnsi="Square721 BT"/>
          <w:b/>
          <w:sz w:val="24"/>
        </w:rPr>
        <w:t>Grundsätze der Speicherung von Daten</w:t>
      </w:r>
    </w:p>
    <w:p w:rsidR="005E278E" w:rsidRPr="009707A6" w:rsidRDefault="005E278E" w:rsidP="005E278E">
      <w:pPr>
        <w:rPr>
          <w:rFonts w:ascii="Square721 BT" w:hAnsi="Square721 BT"/>
          <w:sz w:val="24"/>
          <w:szCs w:val="24"/>
        </w:rPr>
      </w:pPr>
      <w:r w:rsidRPr="009707A6">
        <w:rPr>
          <w:rFonts w:ascii="Square721 BT" w:hAnsi="Square721 BT"/>
          <w:sz w:val="24"/>
          <w:szCs w:val="24"/>
        </w:rPr>
        <w:t xml:space="preserve">Grundsätzlich sind Daten nicht auf lokalen Festplatten oder Datenspeichern von Endgeräten zu speichern. Hintergrund ist neben der dann fehlenden Verfügbarkeit der Daten vor allem auch, dass dann eine Sicherung der Daten nicht in hinreichender Weise erfolgt. </w:t>
      </w:r>
    </w:p>
    <w:p w:rsidR="005E278E" w:rsidRPr="009707A6" w:rsidRDefault="005E278E" w:rsidP="005E278E">
      <w:pPr>
        <w:rPr>
          <w:rFonts w:ascii="Square721 BT" w:hAnsi="Square721 BT"/>
          <w:sz w:val="24"/>
          <w:szCs w:val="24"/>
        </w:rPr>
      </w:pPr>
    </w:p>
    <w:p w:rsidR="005E278E" w:rsidRPr="009707A6" w:rsidRDefault="005E278E" w:rsidP="005E278E">
      <w:pPr>
        <w:rPr>
          <w:rFonts w:ascii="Square721 BT" w:hAnsi="Square721 BT"/>
          <w:sz w:val="24"/>
          <w:szCs w:val="24"/>
        </w:rPr>
      </w:pPr>
      <w:r w:rsidRPr="009707A6">
        <w:rPr>
          <w:rFonts w:ascii="Square721 BT" w:hAnsi="Square721 BT"/>
          <w:sz w:val="24"/>
          <w:szCs w:val="24"/>
        </w:rPr>
        <w:t>Die Speicherung von Daten hat grundsätzlich in den Verzeichnissen/Ordnern von Servern bzw. IT-Systemen zu erfolgen, die für den Benutzer freigegeben sind. Sollte eine Zuordnung zu einem bestimmten Abteilungs-, Gruppen- oder Projektordner nicht möglich sein, sind Daten zunächst auf dem eigenen „</w:t>
      </w:r>
      <w:proofErr w:type="spellStart"/>
      <w:r w:rsidRPr="009707A6">
        <w:rPr>
          <w:rFonts w:ascii="Square721 BT" w:hAnsi="Square721 BT"/>
          <w:sz w:val="24"/>
          <w:szCs w:val="24"/>
        </w:rPr>
        <w:t>Homelaufwerk</w:t>
      </w:r>
      <w:proofErr w:type="spellEnd"/>
      <w:r w:rsidRPr="009707A6">
        <w:rPr>
          <w:rFonts w:ascii="Square721 BT" w:hAnsi="Square721 BT"/>
          <w:sz w:val="24"/>
          <w:szCs w:val="24"/>
        </w:rPr>
        <w:t>“ zu spe</w:t>
      </w:r>
      <w:r w:rsidRPr="009707A6">
        <w:rPr>
          <w:rFonts w:ascii="Square721 BT" w:hAnsi="Square721 BT"/>
          <w:sz w:val="24"/>
          <w:szCs w:val="24"/>
        </w:rPr>
        <w:t>i</w:t>
      </w:r>
      <w:r w:rsidRPr="009707A6">
        <w:rPr>
          <w:rFonts w:ascii="Square721 BT" w:hAnsi="Square721 BT"/>
          <w:sz w:val="24"/>
          <w:szCs w:val="24"/>
        </w:rPr>
        <w:t>chern. Ansonsten sind Daten stets in den jeweils einschlägigen Abteilungs-, Gru</w:t>
      </w:r>
      <w:r w:rsidRPr="009707A6">
        <w:rPr>
          <w:rFonts w:ascii="Square721 BT" w:hAnsi="Square721 BT"/>
          <w:sz w:val="24"/>
          <w:szCs w:val="24"/>
        </w:rPr>
        <w:t>p</w:t>
      </w:r>
      <w:r w:rsidRPr="009707A6">
        <w:rPr>
          <w:rFonts w:ascii="Square721 BT" w:hAnsi="Square721 BT"/>
          <w:sz w:val="24"/>
          <w:szCs w:val="24"/>
        </w:rPr>
        <w:t>pen- oder Projektordnern zu speichern.</w:t>
      </w:r>
    </w:p>
    <w:p w:rsidR="005E278E" w:rsidRPr="009707A6" w:rsidRDefault="005E278E" w:rsidP="005E278E">
      <w:pPr>
        <w:rPr>
          <w:rFonts w:ascii="Square721 BT" w:hAnsi="Square721 BT"/>
          <w:sz w:val="24"/>
          <w:szCs w:val="24"/>
        </w:rPr>
      </w:pPr>
    </w:p>
    <w:p w:rsidR="005E278E" w:rsidRPr="009707A6" w:rsidRDefault="005E278E" w:rsidP="005E278E">
      <w:pPr>
        <w:pStyle w:val="Paragraph"/>
        <w:spacing w:before="240"/>
        <w:rPr>
          <w:rFonts w:ascii="Square721 BT" w:hAnsi="Square721 BT"/>
        </w:rPr>
      </w:pPr>
      <w:r w:rsidRPr="009707A6">
        <w:rPr>
          <w:rFonts w:ascii="Square721 BT" w:hAnsi="Square721 BT"/>
        </w:rPr>
        <w:t xml:space="preserve">Bei der Verwendung von mobilen IT-Systemen und mobilen Datenträgern sind die insoweit geltenden Richtlinien zu beachten. </w:t>
      </w:r>
    </w:p>
    <w:p w:rsidR="009707A6" w:rsidRDefault="009707A6" w:rsidP="005E278E">
      <w:pPr>
        <w:pStyle w:val="Paragraph"/>
        <w:spacing w:before="240"/>
        <w:rPr>
          <w:rFonts w:ascii="Square721 BT" w:hAnsi="Square721 BT"/>
          <w:b/>
        </w:rPr>
      </w:pPr>
      <w:r w:rsidRPr="009707A6">
        <w:rPr>
          <w:rFonts w:ascii="Square721 BT" w:hAnsi="Square721 BT"/>
          <w:b/>
        </w:rPr>
        <w:t>Datensicherung</w:t>
      </w:r>
      <w:r>
        <w:rPr>
          <w:rFonts w:ascii="Square721 BT" w:hAnsi="Square721 BT"/>
          <w:b/>
        </w:rPr>
        <w:br/>
      </w:r>
    </w:p>
    <w:p w:rsidR="009707A6" w:rsidRPr="009707A6" w:rsidRDefault="009707A6" w:rsidP="009707A6">
      <w:pPr>
        <w:rPr>
          <w:rFonts w:ascii="Square721 BT" w:hAnsi="Square721 BT"/>
          <w:sz w:val="24"/>
        </w:rPr>
      </w:pPr>
      <w:r w:rsidRPr="009707A6">
        <w:rPr>
          <w:rFonts w:ascii="Square721 BT" w:hAnsi="Square721 BT"/>
          <w:sz w:val="24"/>
        </w:rPr>
        <w:t xml:space="preserve">Die </w:t>
      </w:r>
      <w:r w:rsidRPr="009707A6">
        <w:rPr>
          <w:rFonts w:ascii="Square721 BT" w:hAnsi="Square721 BT"/>
          <w:b/>
          <w:sz w:val="24"/>
        </w:rPr>
        <w:t xml:space="preserve">Mustermann GmbH </w:t>
      </w:r>
      <w:r w:rsidRPr="009707A6">
        <w:rPr>
          <w:rFonts w:ascii="Square721 BT" w:hAnsi="Square721 BT"/>
          <w:sz w:val="24"/>
        </w:rPr>
        <w:t>stimmt mit ihren Administratoren ab, welche Daten in we</w:t>
      </w:r>
      <w:r w:rsidRPr="009707A6">
        <w:rPr>
          <w:rFonts w:ascii="Square721 BT" w:hAnsi="Square721 BT"/>
          <w:sz w:val="24"/>
        </w:rPr>
        <w:t>l</w:t>
      </w:r>
      <w:r w:rsidRPr="009707A6">
        <w:rPr>
          <w:rFonts w:ascii="Square721 BT" w:hAnsi="Square721 BT"/>
          <w:sz w:val="24"/>
        </w:rPr>
        <w:t>chem Rhythmus und auf welchen Medien bzw. an welchen Orten gesichert werden. Die Datensicherungsstrategie ist von den zuständigen Administratoren zu dokume</w:t>
      </w:r>
      <w:r w:rsidRPr="009707A6">
        <w:rPr>
          <w:rFonts w:ascii="Square721 BT" w:hAnsi="Square721 BT"/>
          <w:sz w:val="24"/>
        </w:rPr>
        <w:t>n</w:t>
      </w:r>
      <w:r w:rsidRPr="009707A6">
        <w:rPr>
          <w:rFonts w:ascii="Square721 BT" w:hAnsi="Square721 BT"/>
          <w:sz w:val="24"/>
        </w:rPr>
        <w:t xml:space="preserve">tieren. </w:t>
      </w:r>
    </w:p>
    <w:p w:rsidR="009707A6" w:rsidRPr="009707A6" w:rsidRDefault="009707A6" w:rsidP="009707A6">
      <w:pPr>
        <w:rPr>
          <w:rFonts w:ascii="Square721 BT" w:hAnsi="Square721 BT"/>
          <w:sz w:val="24"/>
        </w:rPr>
      </w:pPr>
      <w:r w:rsidRPr="009707A6">
        <w:rPr>
          <w:rFonts w:ascii="Square721 BT" w:hAnsi="Square721 BT"/>
          <w:sz w:val="24"/>
        </w:rPr>
        <w:t xml:space="preserve">Datensicherungen sind mindestens täglich anzufertigen. Darüber hinaus </w:t>
      </w:r>
      <w:proofErr w:type="gramStart"/>
      <w:r w:rsidRPr="009707A6">
        <w:rPr>
          <w:rFonts w:ascii="Square721 BT" w:hAnsi="Square721 BT"/>
          <w:sz w:val="24"/>
        </w:rPr>
        <w:t>ist</w:t>
      </w:r>
      <w:proofErr w:type="gramEnd"/>
      <w:r w:rsidRPr="009707A6">
        <w:rPr>
          <w:rFonts w:ascii="Square721 BT" w:hAnsi="Square721 BT"/>
          <w:sz w:val="24"/>
        </w:rPr>
        <w:t xml:space="preserve"> auch e</w:t>
      </w:r>
      <w:r w:rsidRPr="009707A6">
        <w:rPr>
          <w:rFonts w:ascii="Square721 BT" w:hAnsi="Square721 BT"/>
          <w:sz w:val="24"/>
        </w:rPr>
        <w:t>i</w:t>
      </w:r>
      <w:r w:rsidRPr="009707A6">
        <w:rPr>
          <w:rFonts w:ascii="Square721 BT" w:hAnsi="Square721 BT"/>
          <w:sz w:val="24"/>
        </w:rPr>
        <w:t>ne wöchentliche Vollsicherung und eine monatliche Vollsicherung anzufertigen.</w:t>
      </w:r>
    </w:p>
    <w:p w:rsidR="009707A6" w:rsidRDefault="009707A6" w:rsidP="005E278E">
      <w:pPr>
        <w:pStyle w:val="Paragraph"/>
        <w:spacing w:before="240"/>
        <w:rPr>
          <w:rFonts w:ascii="Square721 BT" w:hAnsi="Square721 BT"/>
          <w:b/>
        </w:rPr>
      </w:pPr>
      <w:r>
        <w:rPr>
          <w:rFonts w:ascii="Square721 BT" w:hAnsi="Square721 BT"/>
          <w:b/>
        </w:rPr>
        <w:t>Regelungen für Administratoren</w:t>
      </w:r>
      <w:r>
        <w:rPr>
          <w:rFonts w:ascii="Square721 BT" w:hAnsi="Square721 BT"/>
          <w:b/>
        </w:rPr>
        <w:br/>
      </w:r>
    </w:p>
    <w:p w:rsidR="009707A6" w:rsidRPr="009707A6" w:rsidRDefault="009707A6" w:rsidP="009707A6">
      <w:pPr>
        <w:rPr>
          <w:rFonts w:ascii="Square721 BT" w:hAnsi="Square721 BT"/>
          <w:sz w:val="24"/>
        </w:rPr>
      </w:pPr>
      <w:r w:rsidRPr="009707A6">
        <w:rPr>
          <w:rFonts w:ascii="Square721 BT" w:hAnsi="Square721 BT"/>
          <w:sz w:val="24"/>
        </w:rPr>
        <w:t xml:space="preserve">Die Administratoren sind verpflichtet, alle für die </w:t>
      </w:r>
      <w:r w:rsidRPr="009707A6">
        <w:rPr>
          <w:rFonts w:ascii="Square721 BT" w:hAnsi="Square721 BT"/>
          <w:b/>
          <w:sz w:val="24"/>
        </w:rPr>
        <w:t>Mustermann GmbH</w:t>
      </w:r>
      <w:r w:rsidRPr="009707A6">
        <w:rPr>
          <w:rFonts w:ascii="Square721 BT" w:hAnsi="Square721 BT"/>
          <w:sz w:val="24"/>
        </w:rPr>
        <w:t xml:space="preserve"> bereitgestellten Speicherorte zu dokumentieren und mit dem jeweiligen Zweck des Verzeichnisses in ein Verzeichnis aufzunehmen. In dem Verzeichnis sind ggf. auch die erforderlichen Berechtigungen (Gruppen/Rollen) zu hinterlegen.</w:t>
      </w:r>
    </w:p>
    <w:p w:rsidR="009707A6" w:rsidRDefault="009707A6" w:rsidP="005E278E">
      <w:pPr>
        <w:pStyle w:val="Paragraph"/>
        <w:spacing w:before="240"/>
        <w:rPr>
          <w:rFonts w:ascii="Square721 BT" w:hAnsi="Square721 BT"/>
          <w:b/>
        </w:rPr>
      </w:pPr>
      <w:r>
        <w:rPr>
          <w:rFonts w:ascii="Square721 BT" w:hAnsi="Square721 BT"/>
          <w:b/>
        </w:rPr>
        <w:t>Sanktionen</w:t>
      </w:r>
    </w:p>
    <w:p w:rsidR="009707A6" w:rsidRPr="009707A6" w:rsidRDefault="009707A6" w:rsidP="005E278E">
      <w:pPr>
        <w:pStyle w:val="Paragraph"/>
        <w:spacing w:before="240"/>
        <w:rPr>
          <w:rFonts w:ascii="Square721 BT" w:hAnsi="Square721 BT"/>
        </w:rPr>
      </w:pPr>
      <w:bookmarkStart w:id="0" w:name="_GoBack"/>
      <w:bookmarkEnd w:id="0"/>
      <w:r w:rsidRPr="009707A6">
        <w:rPr>
          <w:rFonts w:ascii="Square721 BT" w:hAnsi="Square721 BT"/>
        </w:rPr>
        <w:t>Ein Verstoß gegen diese Richtlinien kann eine arbeitsvertragliche Pflichtverletzung darstellen und entsprechend sanktioniert werden.</w:t>
      </w:r>
    </w:p>
    <w:p w:rsidR="005E278E" w:rsidRPr="005E278E" w:rsidRDefault="005E278E" w:rsidP="005E278E">
      <w:pPr>
        <w:rPr>
          <w:rFonts w:ascii="Square721 BT" w:hAnsi="Square721 BT"/>
          <w:b/>
          <w:sz w:val="24"/>
        </w:rPr>
      </w:pPr>
    </w:p>
    <w:p w:rsidR="005E278E" w:rsidRPr="005E278E" w:rsidRDefault="005E278E" w:rsidP="005E278E">
      <w:pPr>
        <w:rPr>
          <w:rFonts w:ascii="Square721 BT" w:hAnsi="Square721 BT"/>
          <w:b/>
          <w:sz w:val="24"/>
        </w:rPr>
      </w:pPr>
    </w:p>
    <w:p w:rsidR="005E278E" w:rsidRPr="005E278E" w:rsidRDefault="005E278E" w:rsidP="005E278E">
      <w:pPr>
        <w:rPr>
          <w:rFonts w:ascii="Square721 BT" w:hAnsi="Square721 BT"/>
          <w:b/>
          <w:sz w:val="24"/>
        </w:rPr>
      </w:pPr>
    </w:p>
    <w:p w:rsidR="005E278E" w:rsidRPr="005E278E" w:rsidRDefault="005E278E">
      <w:pPr>
        <w:rPr>
          <w:rFonts w:ascii="Square721 BT" w:hAnsi="Square721 BT"/>
          <w:b/>
          <w:sz w:val="24"/>
        </w:rPr>
      </w:pPr>
    </w:p>
    <w:sectPr w:rsidR="005E278E" w:rsidRPr="005E278E" w:rsidSect="005E278E">
      <w:headerReference w:type="default" r:id="rId7"/>
      <w:pgSz w:w="11906" w:h="16838"/>
      <w:pgMar w:top="294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9C" w:rsidRDefault="0038399C" w:rsidP="005E278E">
      <w:pPr>
        <w:spacing w:after="0" w:line="240" w:lineRule="auto"/>
      </w:pPr>
      <w:r>
        <w:separator/>
      </w:r>
    </w:p>
  </w:endnote>
  <w:endnote w:type="continuationSeparator" w:id="0">
    <w:p w:rsidR="0038399C" w:rsidRDefault="0038399C" w:rsidP="005E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Pro">
    <w:charset w:val="00"/>
    <w:family w:val="auto"/>
    <w:pitch w:val="variable"/>
    <w:sig w:usb0="A000002F"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quare721 BT">
    <w:panose1 w:val="020B050402020206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9C" w:rsidRDefault="0038399C" w:rsidP="005E278E">
      <w:pPr>
        <w:spacing w:after="0" w:line="240" w:lineRule="auto"/>
      </w:pPr>
      <w:r>
        <w:separator/>
      </w:r>
    </w:p>
  </w:footnote>
  <w:footnote w:type="continuationSeparator" w:id="0">
    <w:p w:rsidR="0038399C" w:rsidRDefault="0038399C" w:rsidP="005E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78E" w:rsidRDefault="005E278E" w:rsidP="005E278E">
    <w:pPr>
      <w:pStyle w:val="Kopfzeile"/>
      <w:jc w:val="center"/>
    </w:pPr>
    <w:r>
      <w:rPr>
        <w:noProof/>
        <w:lang w:eastAsia="de-DE"/>
      </w:rPr>
      <w:drawing>
        <wp:inline distT="0" distB="0" distL="0" distR="0">
          <wp:extent cx="1133475" cy="7091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Contana_Datenschutzservice.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09148"/>
                  </a:xfrm>
                  <a:prstGeom prst="rect">
                    <a:avLst/>
                  </a:prstGeom>
                </pic:spPr>
              </pic:pic>
            </a:graphicData>
          </a:graphic>
        </wp:inline>
      </w:drawing>
    </w:r>
  </w:p>
  <w:p w:rsidR="005E278E" w:rsidRDefault="005E278E" w:rsidP="005E278E">
    <w:pPr>
      <w:pStyle w:val="Kopfzeile"/>
      <w:jc w:val="center"/>
    </w:pPr>
  </w:p>
  <w:p w:rsidR="005E278E" w:rsidRPr="005E278E" w:rsidRDefault="005E278E" w:rsidP="005E278E">
    <w:pPr>
      <w:pStyle w:val="Kopfzeile"/>
      <w:jc w:val="center"/>
      <w:rPr>
        <w:rFonts w:ascii="Square721 BT" w:hAnsi="Square721 BT"/>
        <w:b/>
        <w:sz w:val="24"/>
      </w:rPr>
    </w:pPr>
    <w:proofErr w:type="spellStart"/>
    <w:r w:rsidRPr="005E278E">
      <w:rPr>
        <w:rFonts w:ascii="Square721 BT" w:hAnsi="Square721 BT"/>
        <w:b/>
        <w:sz w:val="24"/>
      </w:rPr>
      <w:t>Contana</w:t>
    </w:r>
    <w:proofErr w:type="spellEnd"/>
    <w:r w:rsidRPr="005E278E">
      <w:rPr>
        <w:rFonts w:ascii="Square721 BT" w:hAnsi="Square721 BT"/>
        <w:b/>
        <w:sz w:val="24"/>
      </w:rPr>
      <w:t xml:space="preserve"> Datenschutzservice </w:t>
    </w:r>
    <w:proofErr w:type="spellStart"/>
    <w:r w:rsidRPr="005E278E">
      <w:rPr>
        <w:rFonts w:ascii="Square721 BT" w:hAnsi="Square721 BT"/>
        <w:b/>
        <w:sz w:val="24"/>
      </w:rPr>
      <w:t>e.K</w:t>
    </w:r>
    <w:proofErr w:type="spellEnd"/>
    <w:r w:rsidRPr="005E278E">
      <w:rPr>
        <w:rFonts w:ascii="Square721 BT" w:hAnsi="Square721 BT"/>
        <w:b/>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8E"/>
    <w:rsid w:val="0038399C"/>
    <w:rsid w:val="005E278E"/>
    <w:rsid w:val="009707A6"/>
    <w:rsid w:val="00B62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78E"/>
  </w:style>
  <w:style w:type="paragraph" w:styleId="Fuzeile">
    <w:name w:val="footer"/>
    <w:basedOn w:val="Standard"/>
    <w:link w:val="FuzeileZchn"/>
    <w:uiPriority w:val="99"/>
    <w:unhideWhenUsed/>
    <w:rsid w:val="005E2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78E"/>
  </w:style>
  <w:style w:type="paragraph" w:styleId="Sprechblasentext">
    <w:name w:val="Balloon Text"/>
    <w:basedOn w:val="Standard"/>
    <w:link w:val="SprechblasentextZchn"/>
    <w:uiPriority w:val="99"/>
    <w:semiHidden/>
    <w:unhideWhenUsed/>
    <w:rsid w:val="005E27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78E"/>
    <w:rPr>
      <w:rFonts w:ascii="Tahoma" w:hAnsi="Tahoma" w:cs="Tahoma"/>
      <w:sz w:val="16"/>
      <w:szCs w:val="16"/>
    </w:rPr>
  </w:style>
  <w:style w:type="paragraph" w:customStyle="1" w:styleId="Paragraph">
    <w:name w:val="Paragraph"/>
    <w:rsid w:val="005E278E"/>
    <w:pPr>
      <w:pBdr>
        <w:top w:val="nil"/>
        <w:left w:val="nil"/>
        <w:bottom w:val="nil"/>
        <w:right w:val="nil"/>
        <w:between w:val="nil"/>
        <w:bar w:val="nil"/>
      </w:pBdr>
      <w:suppressAutoHyphens/>
      <w:spacing w:after="0" w:line="360" w:lineRule="atLeast"/>
    </w:pPr>
    <w:rPr>
      <w:rFonts w:ascii="Quire Sans Pro" w:eastAsia="Arial Unicode MS" w:hAnsi="Quire Sans Pro" w:cs="Arial Unicode MS"/>
      <w:color w:val="000000"/>
      <w:sz w:val="24"/>
      <w:szCs w:val="24"/>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7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78E"/>
  </w:style>
  <w:style w:type="paragraph" w:styleId="Fuzeile">
    <w:name w:val="footer"/>
    <w:basedOn w:val="Standard"/>
    <w:link w:val="FuzeileZchn"/>
    <w:uiPriority w:val="99"/>
    <w:unhideWhenUsed/>
    <w:rsid w:val="005E2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78E"/>
  </w:style>
  <w:style w:type="paragraph" w:styleId="Sprechblasentext">
    <w:name w:val="Balloon Text"/>
    <w:basedOn w:val="Standard"/>
    <w:link w:val="SprechblasentextZchn"/>
    <w:uiPriority w:val="99"/>
    <w:semiHidden/>
    <w:unhideWhenUsed/>
    <w:rsid w:val="005E27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78E"/>
    <w:rPr>
      <w:rFonts w:ascii="Tahoma" w:hAnsi="Tahoma" w:cs="Tahoma"/>
      <w:sz w:val="16"/>
      <w:szCs w:val="16"/>
    </w:rPr>
  </w:style>
  <w:style w:type="paragraph" w:customStyle="1" w:styleId="Paragraph">
    <w:name w:val="Paragraph"/>
    <w:rsid w:val="005E278E"/>
    <w:pPr>
      <w:pBdr>
        <w:top w:val="nil"/>
        <w:left w:val="nil"/>
        <w:bottom w:val="nil"/>
        <w:right w:val="nil"/>
        <w:between w:val="nil"/>
        <w:bar w:val="nil"/>
      </w:pBdr>
      <w:suppressAutoHyphens/>
      <w:spacing w:after="0" w:line="360" w:lineRule="atLeast"/>
    </w:pPr>
    <w:rPr>
      <w:rFonts w:ascii="Quire Sans Pro" w:eastAsia="Arial Unicode MS" w:hAnsi="Quire Sans Pro" w:cs="Arial Unicode MS"/>
      <w:color w:val="000000"/>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dc:creator>
  <cp:lastModifiedBy>Kaufmann</cp:lastModifiedBy>
  <cp:revision>1</cp:revision>
  <dcterms:created xsi:type="dcterms:W3CDTF">2020-04-22T15:30:00Z</dcterms:created>
  <dcterms:modified xsi:type="dcterms:W3CDTF">2020-04-22T15:44:00Z</dcterms:modified>
</cp:coreProperties>
</file>