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57" w:rsidRDefault="00E06B81">
      <w:pPr>
        <w:rPr>
          <w:b/>
          <w:sz w:val="36"/>
        </w:rPr>
      </w:pPr>
      <w:r w:rsidRPr="00E06B81">
        <w:rPr>
          <w:b/>
          <w:sz w:val="36"/>
        </w:rPr>
        <w:t>Richtlinie für die Umsetzung von Betroffenenrechten</w:t>
      </w:r>
    </w:p>
    <w:p w:rsidR="00E06B81" w:rsidRDefault="00E06B81">
      <w:pPr>
        <w:rPr>
          <w:b/>
          <w:sz w:val="24"/>
        </w:rPr>
      </w:pPr>
      <w:r>
        <w:rPr>
          <w:b/>
          <w:sz w:val="24"/>
        </w:rPr>
        <w:t>Einleitung</w:t>
      </w:r>
    </w:p>
    <w:p w:rsidR="00E06B81" w:rsidRDefault="00E06B81" w:rsidP="00E06B81">
      <w:pPr>
        <w:rPr>
          <w:rFonts w:ascii="Square721 BT" w:hAnsi="Square721 BT"/>
          <w:sz w:val="24"/>
        </w:rPr>
      </w:pPr>
      <w:r w:rsidRPr="00E06B81">
        <w:rPr>
          <w:rFonts w:ascii="Square721 BT" w:hAnsi="Square721 BT"/>
          <w:sz w:val="24"/>
        </w:rPr>
        <w:t xml:space="preserve">Die Datenschutz-Grundverordnung (DSGVO) sieht in den Art. 12 ff. DSGVO Rechte der von einer Verarbeitung personenbezogener Daten betroffenen Personen vor, die von der </w:t>
      </w:r>
      <w:r w:rsidRPr="00E06B81">
        <w:rPr>
          <w:rFonts w:ascii="Square721 BT" w:hAnsi="Square721 BT"/>
          <w:b/>
          <w:sz w:val="24"/>
        </w:rPr>
        <w:t>Mustermann GmbH</w:t>
      </w:r>
      <w:r w:rsidRPr="00E06B81">
        <w:rPr>
          <w:rFonts w:ascii="Square721 BT" w:hAnsi="Square721 BT"/>
          <w:sz w:val="24"/>
        </w:rPr>
        <w:t xml:space="preserve"> einzuhalten sind. Dies bedarf der Umsetzung von Maßnahmen bei der </w:t>
      </w:r>
      <w:r w:rsidRPr="00E06B81">
        <w:rPr>
          <w:rFonts w:ascii="Square721 BT" w:hAnsi="Square721 BT"/>
          <w:b/>
          <w:sz w:val="24"/>
        </w:rPr>
        <w:t>Mustermann GmbH</w:t>
      </w:r>
      <w:r w:rsidRPr="00E06B81">
        <w:rPr>
          <w:rFonts w:ascii="Square721 BT" w:hAnsi="Square721 BT"/>
          <w:sz w:val="24"/>
        </w:rPr>
        <w:t>.</w:t>
      </w:r>
    </w:p>
    <w:p w:rsidR="00E06B81" w:rsidRPr="00E06B81" w:rsidRDefault="00E06B81" w:rsidP="00E06B81">
      <w:pPr>
        <w:rPr>
          <w:rFonts w:ascii="Square721 BT" w:hAnsi="Square721 BT"/>
          <w:b/>
          <w:sz w:val="24"/>
        </w:rPr>
      </w:pPr>
      <w:r w:rsidRPr="00E06B81">
        <w:rPr>
          <w:rFonts w:ascii="Square721 BT" w:hAnsi="Square721 BT"/>
          <w:b/>
          <w:sz w:val="24"/>
        </w:rPr>
        <w:t>Geltungsbereich</w:t>
      </w:r>
    </w:p>
    <w:p w:rsidR="00E06B81" w:rsidRPr="00E06B81" w:rsidRDefault="00E06B81" w:rsidP="00E06B81">
      <w:pPr>
        <w:rPr>
          <w:rFonts w:ascii="Square721 BT" w:eastAsia="Arial" w:hAnsi="Square721 BT" w:cs="Arial"/>
          <w:sz w:val="24"/>
        </w:rPr>
      </w:pPr>
      <w:r w:rsidRPr="00E06B81">
        <w:rPr>
          <w:rFonts w:ascii="Square721 BT" w:hAnsi="Square721 BT"/>
          <w:sz w:val="24"/>
        </w:rPr>
        <w:t xml:space="preserve">Diese Richtlinie gilt für alle Standorte der </w:t>
      </w:r>
      <w:r w:rsidRPr="00E06B81">
        <w:rPr>
          <w:rFonts w:ascii="Square721 BT" w:hAnsi="Square721 BT"/>
          <w:b/>
          <w:bCs/>
          <w:sz w:val="24"/>
        </w:rPr>
        <w:t>Mustermann GmbH</w:t>
      </w:r>
      <w:r w:rsidRPr="00E06B81">
        <w:rPr>
          <w:rFonts w:ascii="Square721 BT" w:hAnsi="Square721 BT"/>
          <w:sz w:val="24"/>
        </w:rPr>
        <w:t>.</w:t>
      </w:r>
    </w:p>
    <w:p w:rsidR="00E06B81" w:rsidRDefault="00E06B81" w:rsidP="00E06B81">
      <w:pPr>
        <w:rPr>
          <w:rFonts w:ascii="Square721 BT" w:hAnsi="Square721 BT"/>
          <w:sz w:val="24"/>
        </w:rPr>
      </w:pPr>
      <w:r w:rsidRPr="00E06B81">
        <w:rPr>
          <w:rFonts w:ascii="Square721 BT" w:hAnsi="Square721 BT"/>
          <w:sz w:val="24"/>
        </w:rPr>
        <w:t xml:space="preserve">Diese Richtlinie verpflichtet alle Beschäftigten der </w:t>
      </w:r>
      <w:r w:rsidRPr="00E06B81">
        <w:rPr>
          <w:rFonts w:ascii="Square721 BT" w:hAnsi="Square721 BT"/>
          <w:b/>
          <w:bCs/>
          <w:sz w:val="24"/>
        </w:rPr>
        <w:t>Mustermann GmbH</w:t>
      </w:r>
      <w:r w:rsidRPr="00E06B81">
        <w:rPr>
          <w:rFonts w:ascii="Square721 BT" w:hAnsi="Square721 BT"/>
          <w:sz w:val="24"/>
        </w:rPr>
        <w:t xml:space="preserve"> zur Einha</w:t>
      </w:r>
      <w:r w:rsidRPr="00E06B81">
        <w:rPr>
          <w:rFonts w:ascii="Square721 BT" w:hAnsi="Square721 BT"/>
          <w:sz w:val="24"/>
        </w:rPr>
        <w:t>l</w:t>
      </w:r>
      <w:r w:rsidRPr="00E06B81">
        <w:rPr>
          <w:rFonts w:ascii="Square721 BT" w:hAnsi="Square721 BT"/>
          <w:sz w:val="24"/>
        </w:rPr>
        <w:t>tung der hier festgelegten Pflichten und Vorgaben.</w:t>
      </w:r>
    </w:p>
    <w:p w:rsidR="00E06B81" w:rsidRPr="00E06B81" w:rsidRDefault="00E06B81" w:rsidP="00E06B81">
      <w:pPr>
        <w:rPr>
          <w:rFonts w:ascii="Square721 BT" w:hAnsi="Square721 BT"/>
          <w:b/>
          <w:sz w:val="24"/>
        </w:rPr>
      </w:pPr>
      <w:r w:rsidRPr="00E06B81">
        <w:rPr>
          <w:rFonts w:ascii="Square721 BT" w:hAnsi="Square721 BT"/>
          <w:b/>
          <w:sz w:val="24"/>
        </w:rPr>
        <w:t>Ziele</w:t>
      </w:r>
    </w:p>
    <w:p w:rsidR="00E06B81" w:rsidRDefault="00E06B81" w:rsidP="00E06B81">
      <w:pPr>
        <w:rPr>
          <w:rFonts w:ascii="Square721 BT" w:hAnsi="Square721 BT"/>
          <w:sz w:val="24"/>
        </w:rPr>
      </w:pPr>
      <w:r w:rsidRPr="00E06B81">
        <w:rPr>
          <w:rFonts w:ascii="Square721 BT" w:hAnsi="Square721 BT"/>
          <w:sz w:val="24"/>
        </w:rPr>
        <w:t>Diese Richtlinie soll dazu beitragen, dass die Rechtsvorschriften für die Wahrung der Rechte der betroffenen Personen eingehalten werden.</w:t>
      </w:r>
    </w:p>
    <w:p w:rsidR="00E06B81" w:rsidRDefault="00E06B81" w:rsidP="00E06B81">
      <w:pPr>
        <w:rPr>
          <w:rFonts w:ascii="Square721 BT" w:hAnsi="Square721 BT"/>
          <w:b/>
          <w:sz w:val="24"/>
        </w:rPr>
      </w:pPr>
      <w:r w:rsidRPr="00E06B81">
        <w:rPr>
          <w:rFonts w:ascii="Square721 BT" w:hAnsi="Square721 BT"/>
          <w:b/>
          <w:sz w:val="24"/>
        </w:rPr>
        <w:t>Informationspflichten</w:t>
      </w:r>
    </w:p>
    <w:p w:rsidR="00E06B81" w:rsidRPr="00E06B81" w:rsidRDefault="00E06B81" w:rsidP="00E06B81">
      <w:pPr>
        <w:rPr>
          <w:rFonts w:ascii="Square721 BT" w:hAnsi="Square721 BT"/>
          <w:sz w:val="24"/>
        </w:rPr>
      </w:pPr>
      <w:r w:rsidRPr="00E06B81">
        <w:rPr>
          <w:rFonts w:ascii="Square721 BT" w:hAnsi="Square721 BT"/>
          <w:sz w:val="24"/>
        </w:rPr>
        <w:t xml:space="preserve">Das </w:t>
      </w:r>
      <w:r w:rsidRPr="00E06B81">
        <w:rPr>
          <w:rFonts w:ascii="Square721 BT" w:hAnsi="Square721 BT"/>
          <w:b/>
          <w:sz w:val="24"/>
        </w:rPr>
        <w:t>Datenschutz- und Informationssicherheitsteam (DST)</w:t>
      </w:r>
      <w:r w:rsidRPr="00E06B81">
        <w:rPr>
          <w:rFonts w:ascii="Square721 BT" w:hAnsi="Square721 BT"/>
          <w:sz w:val="24"/>
        </w:rPr>
        <w:t xml:space="preserve"> führt das Verzeichnis der Verarbeitungstätigkeiten. Das DST trägt Sorge dafür, dass für jede Verarbeitung im Verarbeitungsverzeichnis seitens der „</w:t>
      </w:r>
      <w:proofErr w:type="spellStart"/>
      <w:r w:rsidRPr="00E06B81">
        <w:rPr>
          <w:rFonts w:ascii="Square721 BT" w:hAnsi="Square721 BT"/>
          <w:sz w:val="24"/>
        </w:rPr>
        <w:t>Owner</w:t>
      </w:r>
      <w:proofErr w:type="spellEnd"/>
      <w:r w:rsidRPr="00E06B81">
        <w:rPr>
          <w:rFonts w:ascii="Square721 BT" w:hAnsi="Square721 BT"/>
          <w:sz w:val="24"/>
        </w:rPr>
        <w:t>/Eigentümer“ der Verarbeitung Sorge dafür getragen wurde, dass Datenschutzinformationen für die betroffenen Personen im erforderlichen Umfang vorliegen und auch den betroffenen Personen in geeign</w:t>
      </w:r>
      <w:r w:rsidRPr="00E06B81">
        <w:rPr>
          <w:rFonts w:ascii="Square721 BT" w:hAnsi="Square721 BT"/>
          <w:sz w:val="24"/>
        </w:rPr>
        <w:t>e</w:t>
      </w:r>
      <w:r w:rsidRPr="00E06B81">
        <w:rPr>
          <w:rFonts w:ascii="Square721 BT" w:hAnsi="Square721 BT"/>
          <w:sz w:val="24"/>
        </w:rPr>
        <w:t>ter Weise zur Verfügung gestellt werden. Die Informationen sind auch bei Änderu</w:t>
      </w:r>
      <w:r w:rsidRPr="00E06B81">
        <w:rPr>
          <w:rFonts w:ascii="Square721 BT" w:hAnsi="Square721 BT"/>
          <w:sz w:val="24"/>
        </w:rPr>
        <w:t>n</w:t>
      </w:r>
      <w:r w:rsidRPr="00E06B81">
        <w:rPr>
          <w:rFonts w:ascii="Square721 BT" w:hAnsi="Square721 BT"/>
          <w:sz w:val="24"/>
        </w:rPr>
        <w:t>gen der Verarbeitung auf ihre Aktualität vom „</w:t>
      </w:r>
      <w:proofErr w:type="spellStart"/>
      <w:r w:rsidRPr="00E06B81">
        <w:rPr>
          <w:rFonts w:ascii="Square721 BT" w:hAnsi="Square721 BT"/>
          <w:sz w:val="24"/>
        </w:rPr>
        <w:t>Owner</w:t>
      </w:r>
      <w:proofErr w:type="spellEnd"/>
      <w:r w:rsidRPr="00E06B81">
        <w:rPr>
          <w:rFonts w:ascii="Square721 BT" w:hAnsi="Square721 BT"/>
          <w:sz w:val="24"/>
        </w:rPr>
        <w:t>/Eigentümer“ zu prüfen.</w:t>
      </w:r>
    </w:p>
    <w:p w:rsidR="00E06B81" w:rsidRDefault="00E06B81" w:rsidP="00E06B81">
      <w:pPr>
        <w:outlineLvl w:val="0"/>
        <w:rPr>
          <w:rFonts w:ascii="Square721 BT" w:hAnsi="Square721 BT"/>
          <w:sz w:val="24"/>
        </w:rPr>
      </w:pPr>
      <w:r w:rsidRPr="00E06B81">
        <w:rPr>
          <w:rFonts w:ascii="Square721 BT" w:hAnsi="Square721 BT"/>
          <w:sz w:val="24"/>
        </w:rPr>
        <w:t>Art und Umfang der Informationserteilung sind mit dem DST abzusprechen.</w:t>
      </w:r>
    </w:p>
    <w:p w:rsidR="00E06B81" w:rsidRDefault="00E06B81" w:rsidP="00E06B81">
      <w:pPr>
        <w:outlineLvl w:val="0"/>
        <w:rPr>
          <w:rFonts w:ascii="Square721 BT" w:hAnsi="Square721 BT"/>
          <w:b/>
          <w:sz w:val="24"/>
        </w:rPr>
      </w:pPr>
    </w:p>
    <w:p w:rsidR="00E06B81" w:rsidRDefault="00E06B81" w:rsidP="00E06B81">
      <w:pPr>
        <w:outlineLvl w:val="0"/>
        <w:rPr>
          <w:rFonts w:ascii="Square721 BT" w:hAnsi="Square721 BT"/>
          <w:b/>
          <w:sz w:val="24"/>
        </w:rPr>
      </w:pPr>
    </w:p>
    <w:p w:rsidR="00E06B81" w:rsidRDefault="00E06B81" w:rsidP="00E06B81">
      <w:pPr>
        <w:outlineLvl w:val="0"/>
        <w:rPr>
          <w:rFonts w:ascii="Square721 BT" w:hAnsi="Square721 BT"/>
          <w:b/>
          <w:sz w:val="24"/>
        </w:rPr>
      </w:pPr>
    </w:p>
    <w:p w:rsidR="00E06B81" w:rsidRDefault="00E06B81" w:rsidP="00E06B81">
      <w:pPr>
        <w:outlineLvl w:val="0"/>
        <w:rPr>
          <w:rFonts w:ascii="Square721 BT" w:hAnsi="Square721 BT"/>
          <w:b/>
          <w:sz w:val="24"/>
        </w:rPr>
      </w:pPr>
    </w:p>
    <w:p w:rsidR="00E06B81" w:rsidRDefault="00E06B81" w:rsidP="00E06B81">
      <w:pPr>
        <w:outlineLvl w:val="0"/>
        <w:rPr>
          <w:rFonts w:ascii="Square721 BT" w:hAnsi="Square721 BT"/>
          <w:b/>
          <w:sz w:val="24"/>
        </w:rPr>
      </w:pPr>
      <w:r w:rsidRPr="00E06B81">
        <w:rPr>
          <w:rFonts w:ascii="Square721 BT" w:hAnsi="Square721 BT"/>
          <w:b/>
          <w:sz w:val="24"/>
        </w:rPr>
        <w:lastRenderedPageBreak/>
        <w:t xml:space="preserve">Rechte auf Auskunft, Löschung, Widerspruch und weitere Betroffenenrechte aus </w:t>
      </w:r>
      <w:proofErr w:type="gramStart"/>
      <w:r w:rsidRPr="00E06B81">
        <w:rPr>
          <w:rFonts w:ascii="Square721 BT" w:hAnsi="Square721 BT"/>
          <w:b/>
          <w:sz w:val="24"/>
        </w:rPr>
        <w:t>den</w:t>
      </w:r>
      <w:proofErr w:type="gramEnd"/>
      <w:r w:rsidRPr="00E06B81">
        <w:rPr>
          <w:rFonts w:ascii="Square721 BT" w:hAnsi="Square721 BT"/>
          <w:b/>
          <w:sz w:val="24"/>
        </w:rPr>
        <w:t xml:space="preserve"> Art. 15-22 DSGVO</w:t>
      </w:r>
    </w:p>
    <w:p w:rsidR="00E06B81" w:rsidRDefault="00E06B81" w:rsidP="00E06B81">
      <w:pPr>
        <w:rPr>
          <w:rFonts w:ascii="Square721 BT" w:hAnsi="Square721 BT"/>
          <w:sz w:val="24"/>
        </w:rPr>
      </w:pPr>
      <w:r>
        <w:rPr>
          <w:rFonts w:ascii="Square721 BT" w:hAnsi="Square721 BT"/>
          <w:sz w:val="24"/>
        </w:rPr>
        <w:t xml:space="preserve">Jede Person kann </w:t>
      </w:r>
      <w:proofErr w:type="gramStart"/>
      <w:r>
        <w:rPr>
          <w:rFonts w:ascii="Square721 BT" w:hAnsi="Square721 BT"/>
          <w:sz w:val="24"/>
        </w:rPr>
        <w:t xml:space="preserve">die </w:t>
      </w:r>
      <w:r w:rsidRPr="00E06B81">
        <w:rPr>
          <w:rFonts w:ascii="Square721 BT" w:hAnsi="Square721 BT"/>
          <w:sz w:val="24"/>
        </w:rPr>
        <w:t>Betroffenenrechte</w:t>
      </w:r>
      <w:proofErr w:type="gramEnd"/>
      <w:r w:rsidRPr="00E06B81">
        <w:rPr>
          <w:rFonts w:ascii="Square721 BT" w:hAnsi="Square721 BT"/>
          <w:sz w:val="24"/>
        </w:rPr>
        <w:t xml:space="preserve"> nach den Art. 15-22 DSGVO gegenüber der </w:t>
      </w:r>
      <w:r w:rsidRPr="00E06B81">
        <w:rPr>
          <w:rFonts w:ascii="Square721 BT" w:hAnsi="Square721 BT"/>
          <w:b/>
          <w:sz w:val="24"/>
        </w:rPr>
        <w:t xml:space="preserve">Mustermann GmbH </w:t>
      </w:r>
      <w:r w:rsidRPr="00E06B81">
        <w:rPr>
          <w:rFonts w:ascii="Square721 BT" w:hAnsi="Square721 BT"/>
          <w:sz w:val="24"/>
        </w:rPr>
        <w:t>geltend machen.</w:t>
      </w:r>
    </w:p>
    <w:p w:rsidR="00E06B81" w:rsidRPr="00E06B81" w:rsidRDefault="00E06B81" w:rsidP="00E06B81">
      <w:pPr>
        <w:rPr>
          <w:rFonts w:ascii="Square721 BT" w:hAnsi="Square721 BT"/>
          <w:sz w:val="24"/>
        </w:rPr>
      </w:pPr>
      <w:r w:rsidRPr="00E06B81">
        <w:rPr>
          <w:rFonts w:ascii="Square721 BT" w:hAnsi="Square721 BT"/>
          <w:sz w:val="24"/>
        </w:rPr>
        <w:t xml:space="preserve">Dies beinhaltet insbesondere das Recht auf </w:t>
      </w:r>
      <w:r w:rsidRPr="00E06B81">
        <w:rPr>
          <w:rFonts w:ascii="Square721 BT" w:hAnsi="Square721 BT"/>
          <w:b/>
          <w:sz w:val="24"/>
        </w:rPr>
        <w:t xml:space="preserve">Auskunft, Berichtigung </w:t>
      </w:r>
      <w:r w:rsidRPr="00E06B81">
        <w:rPr>
          <w:rFonts w:ascii="Square721 BT" w:hAnsi="Square721 BT"/>
          <w:sz w:val="24"/>
        </w:rPr>
        <w:t xml:space="preserve">und </w:t>
      </w:r>
      <w:r w:rsidRPr="00E06B81">
        <w:rPr>
          <w:rFonts w:ascii="Square721 BT" w:hAnsi="Square721 BT"/>
          <w:b/>
          <w:sz w:val="24"/>
        </w:rPr>
        <w:t>Löschung</w:t>
      </w:r>
      <w:r w:rsidRPr="00E06B81">
        <w:rPr>
          <w:rFonts w:ascii="Square721 BT" w:hAnsi="Square721 BT"/>
          <w:sz w:val="24"/>
        </w:rPr>
        <w:t xml:space="preserve"> von personenbezogenen Daten sowie das Recht auf </w:t>
      </w:r>
      <w:r w:rsidRPr="00E06B81">
        <w:rPr>
          <w:rFonts w:ascii="Square721 BT" w:hAnsi="Square721 BT"/>
          <w:b/>
          <w:sz w:val="24"/>
        </w:rPr>
        <w:t>Einschränkung der Verarbe</w:t>
      </w:r>
      <w:r w:rsidRPr="00E06B81">
        <w:rPr>
          <w:rFonts w:ascii="Square721 BT" w:hAnsi="Square721 BT"/>
          <w:b/>
          <w:sz w:val="24"/>
        </w:rPr>
        <w:t>i</w:t>
      </w:r>
      <w:r w:rsidRPr="00E06B81">
        <w:rPr>
          <w:rFonts w:ascii="Square721 BT" w:hAnsi="Square721 BT"/>
          <w:b/>
          <w:sz w:val="24"/>
        </w:rPr>
        <w:t xml:space="preserve">tung </w:t>
      </w:r>
      <w:r w:rsidRPr="00E06B81">
        <w:rPr>
          <w:rFonts w:ascii="Square721 BT" w:hAnsi="Square721 BT"/>
          <w:sz w:val="24"/>
        </w:rPr>
        <w:t xml:space="preserve">sowie das Recht auf </w:t>
      </w:r>
      <w:r w:rsidRPr="00E06B81">
        <w:rPr>
          <w:rFonts w:ascii="Square721 BT" w:hAnsi="Square721 BT"/>
          <w:b/>
          <w:sz w:val="24"/>
        </w:rPr>
        <w:t xml:space="preserve">Widerspruch </w:t>
      </w:r>
      <w:r w:rsidRPr="00E06B81">
        <w:rPr>
          <w:rFonts w:ascii="Square721 BT" w:hAnsi="Square721 BT"/>
          <w:sz w:val="24"/>
        </w:rPr>
        <w:t xml:space="preserve">gegen eine Verarbeitung von Daten (z.B. auch gegen die Verwendung von Daten für Werbezwecke). </w:t>
      </w:r>
    </w:p>
    <w:p w:rsidR="00E06B81" w:rsidRPr="00E06B81" w:rsidRDefault="00E06B81" w:rsidP="00E06B81">
      <w:pPr>
        <w:rPr>
          <w:rFonts w:ascii="Square721 BT" w:hAnsi="Square721 BT"/>
          <w:sz w:val="24"/>
        </w:rPr>
      </w:pPr>
    </w:p>
    <w:p w:rsidR="00E06B81" w:rsidRPr="00E06B81" w:rsidRDefault="00E06B81" w:rsidP="00E06B81">
      <w:pPr>
        <w:rPr>
          <w:rFonts w:ascii="Square721 BT" w:hAnsi="Square721 BT"/>
          <w:sz w:val="24"/>
        </w:rPr>
      </w:pPr>
      <w:r w:rsidRPr="00E06B81">
        <w:rPr>
          <w:rFonts w:ascii="Square721 BT" w:hAnsi="Square721 BT"/>
          <w:sz w:val="24"/>
        </w:rPr>
        <w:t xml:space="preserve">Alle Beschäftigten der </w:t>
      </w:r>
      <w:r w:rsidRPr="00E06B81">
        <w:rPr>
          <w:rFonts w:ascii="Square721 BT" w:hAnsi="Square721 BT"/>
          <w:b/>
          <w:sz w:val="24"/>
        </w:rPr>
        <w:t>Mustermann GmbH</w:t>
      </w:r>
      <w:r w:rsidRPr="00E06B81">
        <w:rPr>
          <w:rFonts w:ascii="Square721 BT" w:hAnsi="Square721 BT"/>
          <w:sz w:val="24"/>
        </w:rPr>
        <w:t xml:space="preserve"> sind verpflichtet, einen von einem B</w:t>
      </w:r>
      <w:r w:rsidRPr="00E06B81">
        <w:rPr>
          <w:rFonts w:ascii="Square721 BT" w:hAnsi="Square721 BT"/>
          <w:sz w:val="24"/>
        </w:rPr>
        <w:t>e</w:t>
      </w:r>
      <w:r w:rsidRPr="00E06B81">
        <w:rPr>
          <w:rFonts w:ascii="Square721 BT" w:hAnsi="Square721 BT"/>
          <w:sz w:val="24"/>
        </w:rPr>
        <w:t xml:space="preserve">troffenen geltend gemachten Anspruch auf Auskunft, Berichtigung, Löschung oder einen Widerspruch unverzüglich nach Zugang der Mitteilung an das </w:t>
      </w:r>
      <w:r w:rsidRPr="00E06B81">
        <w:rPr>
          <w:rFonts w:ascii="Square721 BT" w:hAnsi="Square721 BT"/>
          <w:b/>
          <w:sz w:val="24"/>
        </w:rPr>
        <w:t>DST</w:t>
      </w:r>
      <w:r w:rsidRPr="00E06B81">
        <w:rPr>
          <w:rFonts w:ascii="Square721 BT" w:hAnsi="Square721 BT"/>
          <w:sz w:val="24"/>
        </w:rPr>
        <w:t xml:space="preserve"> weiterzule</w:t>
      </w:r>
      <w:r w:rsidRPr="00E06B81">
        <w:rPr>
          <w:rFonts w:ascii="Square721 BT" w:hAnsi="Square721 BT"/>
          <w:sz w:val="24"/>
        </w:rPr>
        <w:t>i</w:t>
      </w:r>
      <w:r w:rsidRPr="00E06B81">
        <w:rPr>
          <w:rFonts w:ascii="Square721 BT" w:hAnsi="Square721 BT"/>
          <w:sz w:val="24"/>
        </w:rPr>
        <w:t>ten. Die Weiterleitung kann z.B. auch per E-Mail an die E-Mail-Adresse des DST e</w:t>
      </w:r>
      <w:r w:rsidRPr="00E06B81">
        <w:rPr>
          <w:rFonts w:ascii="Square721 BT" w:hAnsi="Square721 BT"/>
          <w:sz w:val="24"/>
        </w:rPr>
        <w:t>r</w:t>
      </w:r>
      <w:r w:rsidRPr="00E06B81">
        <w:rPr>
          <w:rFonts w:ascii="Square721 BT" w:hAnsi="Square721 BT"/>
          <w:sz w:val="24"/>
        </w:rPr>
        <w:t>folgen.</w:t>
      </w:r>
    </w:p>
    <w:p w:rsidR="00E06B81" w:rsidRPr="00E06B81" w:rsidRDefault="00E06B81" w:rsidP="00E06B81">
      <w:pPr>
        <w:rPr>
          <w:rFonts w:ascii="Square721 BT" w:hAnsi="Square721 BT"/>
          <w:sz w:val="24"/>
        </w:rPr>
      </w:pPr>
      <w:r w:rsidRPr="00E06B81">
        <w:rPr>
          <w:rFonts w:ascii="Square721 BT" w:hAnsi="Square721 BT"/>
          <w:sz w:val="24"/>
        </w:rPr>
        <w:t xml:space="preserve">Das DST wird die Anfrage dokumentieren und unverzüglich, spätestens aber binnen </w:t>
      </w:r>
      <w:r w:rsidRPr="00E06B81">
        <w:rPr>
          <w:rFonts w:ascii="Square721 BT" w:hAnsi="Square721 BT"/>
          <w:b/>
          <w:sz w:val="24"/>
        </w:rPr>
        <w:t>innerhalb eines Monats</w:t>
      </w:r>
      <w:r w:rsidRPr="00E06B81">
        <w:rPr>
          <w:rFonts w:ascii="Square721 BT" w:hAnsi="Square721 BT"/>
          <w:sz w:val="24"/>
        </w:rPr>
        <w:t xml:space="preserve"> nach Eingang der Mitteilung des Betroffenen bei der </w:t>
      </w:r>
      <w:r w:rsidRPr="00E06B81">
        <w:rPr>
          <w:rFonts w:ascii="Square721 BT" w:hAnsi="Square721 BT"/>
          <w:b/>
          <w:sz w:val="24"/>
        </w:rPr>
        <w:t>Mu</w:t>
      </w:r>
      <w:r w:rsidRPr="00E06B81">
        <w:rPr>
          <w:rFonts w:ascii="Square721 BT" w:hAnsi="Square721 BT"/>
          <w:b/>
          <w:sz w:val="24"/>
        </w:rPr>
        <w:t>s</w:t>
      </w:r>
      <w:r w:rsidRPr="00E06B81">
        <w:rPr>
          <w:rFonts w:ascii="Square721 BT" w:hAnsi="Square721 BT"/>
          <w:b/>
          <w:sz w:val="24"/>
        </w:rPr>
        <w:t xml:space="preserve">termann GmbH </w:t>
      </w:r>
      <w:r w:rsidRPr="00E06B81">
        <w:rPr>
          <w:rFonts w:ascii="Square721 BT" w:hAnsi="Square721 BT"/>
          <w:sz w:val="24"/>
        </w:rPr>
        <w:t>gegenüber dem Betroffenen beantworten.</w:t>
      </w:r>
    </w:p>
    <w:p w:rsidR="00E06B81" w:rsidRPr="00E06B81" w:rsidRDefault="00E06B81" w:rsidP="00E06B81">
      <w:pPr>
        <w:rPr>
          <w:rFonts w:ascii="Square721 BT" w:hAnsi="Square721 BT"/>
          <w:sz w:val="24"/>
        </w:rPr>
      </w:pPr>
      <w:r w:rsidRPr="00E06B81">
        <w:rPr>
          <w:rFonts w:ascii="Square721 BT" w:hAnsi="Square721 BT"/>
          <w:sz w:val="24"/>
        </w:rPr>
        <w:t>Das DST wird die Unternehmensleitung über schwierige oder umfangreiche Anfr</w:t>
      </w:r>
      <w:r w:rsidRPr="00E06B81">
        <w:rPr>
          <w:rFonts w:ascii="Square721 BT" w:hAnsi="Square721 BT"/>
          <w:sz w:val="24"/>
        </w:rPr>
        <w:t>a</w:t>
      </w:r>
      <w:r w:rsidRPr="00E06B81">
        <w:rPr>
          <w:rFonts w:ascii="Square721 BT" w:hAnsi="Square721 BT"/>
          <w:sz w:val="24"/>
        </w:rPr>
        <w:t>gen von Betroffenen informieren.</w:t>
      </w:r>
    </w:p>
    <w:p w:rsidR="00E06B81" w:rsidRDefault="00E06B81" w:rsidP="00E06B81">
      <w:pPr>
        <w:rPr>
          <w:rFonts w:ascii="Square721 BT" w:hAnsi="Square721 BT"/>
          <w:sz w:val="24"/>
        </w:rPr>
      </w:pPr>
      <w:r w:rsidRPr="00E06B81">
        <w:rPr>
          <w:rFonts w:ascii="Square721 BT" w:hAnsi="Square721 BT"/>
          <w:sz w:val="24"/>
        </w:rPr>
        <w:t>Das DST hat bei der Beantwortung von Anfragen von Betroffenen sicherzustellen, dass vor der Erteilung von Information an den Betroffenen sichergestellt wurde, dass die Person diejenige ist, für die sich ausgibt, um zu verhindern, dass personenbez</w:t>
      </w:r>
      <w:r w:rsidRPr="00E06B81">
        <w:rPr>
          <w:rFonts w:ascii="Square721 BT" w:hAnsi="Square721 BT"/>
          <w:sz w:val="24"/>
        </w:rPr>
        <w:t>o</w:t>
      </w:r>
      <w:r w:rsidRPr="00E06B81">
        <w:rPr>
          <w:rFonts w:ascii="Square721 BT" w:hAnsi="Square721 BT"/>
          <w:sz w:val="24"/>
        </w:rPr>
        <w:t>gene Daten an Unbefugte gelangen. Im Fall einer Auskunftserteilung per E-Mail ist von dem Betroffenen vorab die Zustimmung einzuholen, dass die Informationen per E-Mail zur Verfügung gestellt werden. Bei Fehlen einer Zustimmung ist die Auskunft schriftlich zu erteilen.</w:t>
      </w:r>
    </w:p>
    <w:p w:rsidR="00E06B81" w:rsidRPr="00E06B81" w:rsidRDefault="00E06B81" w:rsidP="00E06B81">
      <w:pPr>
        <w:rPr>
          <w:rFonts w:ascii="Square721 BT" w:hAnsi="Square721 BT"/>
          <w:b/>
          <w:sz w:val="24"/>
        </w:rPr>
      </w:pPr>
      <w:r w:rsidRPr="00E06B81">
        <w:rPr>
          <w:rFonts w:ascii="Square721 BT" w:hAnsi="Square721 BT"/>
          <w:b/>
          <w:sz w:val="24"/>
        </w:rPr>
        <w:t>Sanktionen</w:t>
      </w:r>
    </w:p>
    <w:p w:rsidR="00E06B81" w:rsidRPr="00E06B81" w:rsidRDefault="00E06B81" w:rsidP="00E06B81">
      <w:pPr>
        <w:pStyle w:val="Paragraph"/>
        <w:rPr>
          <w:rFonts w:ascii="Square721 BT" w:hAnsi="Square721 BT"/>
          <w:b/>
        </w:rPr>
      </w:pPr>
      <w:r>
        <w:rPr>
          <w:rFonts w:ascii="Arial" w:hAnsi="Arial"/>
        </w:rPr>
        <w:t>Ein Verstoß gegen diese Richtlinien kann eine arbeitsvertragliche Pflichtverletzung darstellen und entsprechend sanktioniert werden.</w:t>
      </w:r>
      <w:bookmarkStart w:id="0" w:name="_GoBack"/>
      <w:bookmarkEnd w:id="0"/>
      <w:r w:rsidRPr="00E06B81">
        <w:rPr>
          <w:rFonts w:ascii="Square721 BT" w:hAnsi="Square721 BT"/>
          <w:b/>
        </w:rPr>
        <w:t xml:space="preserve"> </w:t>
      </w:r>
    </w:p>
    <w:p w:rsidR="00E06B81" w:rsidRPr="00E06B81" w:rsidRDefault="00E06B81">
      <w:pPr>
        <w:rPr>
          <w:b/>
          <w:sz w:val="24"/>
        </w:rPr>
      </w:pPr>
    </w:p>
    <w:sectPr w:rsidR="00E06B81" w:rsidRPr="00E06B81" w:rsidSect="00E06B81">
      <w:headerReference w:type="default" r:id="rId7"/>
      <w:pgSz w:w="11906" w:h="16838"/>
      <w:pgMar w:top="2948"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6F" w:rsidRDefault="00C42A6F" w:rsidP="00E06B81">
      <w:pPr>
        <w:spacing w:after="0" w:line="240" w:lineRule="auto"/>
      </w:pPr>
      <w:r>
        <w:separator/>
      </w:r>
    </w:p>
  </w:endnote>
  <w:endnote w:type="continuationSeparator" w:id="0">
    <w:p w:rsidR="00C42A6F" w:rsidRDefault="00C42A6F" w:rsidP="00E0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re Sans Pro">
    <w:charset w:val="00"/>
    <w:family w:val="auto"/>
    <w:pitch w:val="variable"/>
    <w:sig w:usb0="A000002F"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quare721 BT">
    <w:panose1 w:val="020B050402020206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6F" w:rsidRDefault="00C42A6F" w:rsidP="00E06B81">
      <w:pPr>
        <w:spacing w:after="0" w:line="240" w:lineRule="auto"/>
      </w:pPr>
      <w:r>
        <w:separator/>
      </w:r>
    </w:p>
  </w:footnote>
  <w:footnote w:type="continuationSeparator" w:id="0">
    <w:p w:rsidR="00C42A6F" w:rsidRDefault="00C42A6F" w:rsidP="00E06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81" w:rsidRDefault="00E06B81" w:rsidP="00E06B81">
    <w:pPr>
      <w:pStyle w:val="Kopfzeile"/>
      <w:jc w:val="center"/>
    </w:pPr>
    <w:r>
      <w:rPr>
        <w:noProof/>
        <w:lang w:eastAsia="de-DE"/>
      </w:rPr>
      <w:drawing>
        <wp:inline distT="0" distB="0" distL="0" distR="0">
          <wp:extent cx="1019175" cy="63763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u_Contana_Datenschutzservice.jpg"/>
                  <pic:cNvPicPr/>
                </pic:nvPicPr>
                <pic:blipFill>
                  <a:blip r:embed="rId1">
                    <a:extLst>
                      <a:ext uri="{28A0092B-C50C-407E-A947-70E740481C1C}">
                        <a14:useLocalDpi xmlns:a14="http://schemas.microsoft.com/office/drawing/2010/main" val="0"/>
                      </a:ext>
                    </a:extLst>
                  </a:blip>
                  <a:stretch>
                    <a:fillRect/>
                  </a:stretch>
                </pic:blipFill>
                <pic:spPr>
                  <a:xfrm>
                    <a:off x="0" y="0"/>
                    <a:ext cx="1019175" cy="637638"/>
                  </a:xfrm>
                  <a:prstGeom prst="rect">
                    <a:avLst/>
                  </a:prstGeom>
                </pic:spPr>
              </pic:pic>
            </a:graphicData>
          </a:graphic>
        </wp:inline>
      </w:drawing>
    </w:r>
  </w:p>
  <w:p w:rsidR="00E06B81" w:rsidRDefault="00E06B81" w:rsidP="00E06B81">
    <w:pPr>
      <w:pStyle w:val="Kopfzeile"/>
      <w:jc w:val="center"/>
    </w:pPr>
  </w:p>
  <w:p w:rsidR="00E06B81" w:rsidRPr="00E06B81" w:rsidRDefault="00E06B81" w:rsidP="00E06B81">
    <w:pPr>
      <w:pStyle w:val="Kopfzeile"/>
      <w:jc w:val="center"/>
      <w:rPr>
        <w:rFonts w:ascii="Square721 BT" w:hAnsi="Square721 BT"/>
        <w:b/>
        <w:sz w:val="24"/>
      </w:rPr>
    </w:pPr>
    <w:proofErr w:type="spellStart"/>
    <w:r w:rsidRPr="00E06B81">
      <w:rPr>
        <w:rFonts w:ascii="Square721 BT" w:hAnsi="Square721 BT"/>
        <w:b/>
        <w:sz w:val="24"/>
      </w:rPr>
      <w:t>Contana</w:t>
    </w:r>
    <w:proofErr w:type="spellEnd"/>
    <w:r w:rsidRPr="00E06B81">
      <w:rPr>
        <w:rFonts w:ascii="Square721 BT" w:hAnsi="Square721 BT"/>
        <w:b/>
        <w:sz w:val="24"/>
      </w:rPr>
      <w:t xml:space="preserve"> Datenschutzservice </w:t>
    </w:r>
    <w:proofErr w:type="spellStart"/>
    <w:r w:rsidRPr="00E06B81">
      <w:rPr>
        <w:rFonts w:ascii="Square721 BT" w:hAnsi="Square721 BT"/>
        <w:b/>
        <w:sz w:val="24"/>
      </w:rPr>
      <w:t>e.K</w:t>
    </w:r>
    <w:proofErr w:type="spellEnd"/>
    <w:r w:rsidRPr="00E06B81">
      <w:rPr>
        <w:rFonts w:ascii="Square721 BT" w:hAnsi="Square721 BT"/>
        <w:b/>
        <w:sz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81"/>
    <w:rsid w:val="00B62C57"/>
    <w:rsid w:val="00C42A6F"/>
    <w:rsid w:val="00E0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6B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B81"/>
  </w:style>
  <w:style w:type="paragraph" w:styleId="Fuzeile">
    <w:name w:val="footer"/>
    <w:basedOn w:val="Standard"/>
    <w:link w:val="FuzeileZchn"/>
    <w:uiPriority w:val="99"/>
    <w:unhideWhenUsed/>
    <w:rsid w:val="00E06B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B81"/>
  </w:style>
  <w:style w:type="paragraph" w:styleId="Sprechblasentext">
    <w:name w:val="Balloon Text"/>
    <w:basedOn w:val="Standard"/>
    <w:link w:val="SprechblasentextZchn"/>
    <w:uiPriority w:val="99"/>
    <w:semiHidden/>
    <w:unhideWhenUsed/>
    <w:rsid w:val="00E06B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B81"/>
    <w:rPr>
      <w:rFonts w:ascii="Tahoma" w:hAnsi="Tahoma" w:cs="Tahoma"/>
      <w:sz w:val="16"/>
      <w:szCs w:val="16"/>
    </w:rPr>
  </w:style>
  <w:style w:type="paragraph" w:customStyle="1" w:styleId="Paragraph">
    <w:name w:val="Paragraph"/>
    <w:rsid w:val="00E06B81"/>
    <w:pPr>
      <w:pBdr>
        <w:top w:val="nil"/>
        <w:left w:val="nil"/>
        <w:bottom w:val="nil"/>
        <w:right w:val="nil"/>
        <w:between w:val="nil"/>
        <w:bar w:val="nil"/>
      </w:pBdr>
      <w:suppressAutoHyphens/>
      <w:spacing w:after="0" w:line="360" w:lineRule="atLeast"/>
    </w:pPr>
    <w:rPr>
      <w:rFonts w:ascii="Quire Sans Pro" w:eastAsia="Arial Unicode MS" w:hAnsi="Quire Sans Pro" w:cs="Arial Unicode MS"/>
      <w:color w:val="000000"/>
      <w:sz w:val="24"/>
      <w:szCs w:val="24"/>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6B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6B81"/>
  </w:style>
  <w:style w:type="paragraph" w:styleId="Fuzeile">
    <w:name w:val="footer"/>
    <w:basedOn w:val="Standard"/>
    <w:link w:val="FuzeileZchn"/>
    <w:uiPriority w:val="99"/>
    <w:unhideWhenUsed/>
    <w:rsid w:val="00E06B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6B81"/>
  </w:style>
  <w:style w:type="paragraph" w:styleId="Sprechblasentext">
    <w:name w:val="Balloon Text"/>
    <w:basedOn w:val="Standard"/>
    <w:link w:val="SprechblasentextZchn"/>
    <w:uiPriority w:val="99"/>
    <w:semiHidden/>
    <w:unhideWhenUsed/>
    <w:rsid w:val="00E06B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B81"/>
    <w:rPr>
      <w:rFonts w:ascii="Tahoma" w:hAnsi="Tahoma" w:cs="Tahoma"/>
      <w:sz w:val="16"/>
      <w:szCs w:val="16"/>
    </w:rPr>
  </w:style>
  <w:style w:type="paragraph" w:customStyle="1" w:styleId="Paragraph">
    <w:name w:val="Paragraph"/>
    <w:rsid w:val="00E06B81"/>
    <w:pPr>
      <w:pBdr>
        <w:top w:val="nil"/>
        <w:left w:val="nil"/>
        <w:bottom w:val="nil"/>
        <w:right w:val="nil"/>
        <w:between w:val="nil"/>
        <w:bar w:val="nil"/>
      </w:pBdr>
      <w:suppressAutoHyphens/>
      <w:spacing w:after="0" w:line="360" w:lineRule="atLeast"/>
    </w:pPr>
    <w:rPr>
      <w:rFonts w:ascii="Quire Sans Pro" w:eastAsia="Arial Unicode MS" w:hAnsi="Quire Sans Pro" w:cs="Arial Unicode MS"/>
      <w:color w:val="000000"/>
      <w:sz w:val="24"/>
      <w:szCs w:val="24"/>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Kaufmann</dc:creator>
  <cp:lastModifiedBy>Kaufmann</cp:lastModifiedBy>
  <cp:revision>1</cp:revision>
  <dcterms:created xsi:type="dcterms:W3CDTF">2020-04-23T06:20:00Z</dcterms:created>
  <dcterms:modified xsi:type="dcterms:W3CDTF">2020-04-23T06:30:00Z</dcterms:modified>
</cp:coreProperties>
</file>